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2345" w14:textId="77777777" w:rsidR="00895296" w:rsidRDefault="00895296" w:rsidP="00895296">
      <w:pPr>
        <w:rPr>
          <w:b/>
          <w:sz w:val="22"/>
          <w:szCs w:val="22"/>
        </w:rPr>
      </w:pPr>
    </w:p>
    <w:p w14:paraId="1027F459" w14:textId="77777777" w:rsidR="00895296" w:rsidRDefault="00895296">
      <w:pPr>
        <w:jc w:val="center"/>
        <w:rPr>
          <w:b/>
          <w:sz w:val="22"/>
          <w:szCs w:val="22"/>
        </w:rPr>
      </w:pPr>
    </w:p>
    <w:p w14:paraId="67D5AB7C" w14:textId="77777777" w:rsidR="00252A54" w:rsidRDefault="00671265">
      <w:pPr>
        <w:jc w:val="center"/>
        <w:rPr>
          <w:b/>
          <w:sz w:val="22"/>
          <w:szCs w:val="22"/>
        </w:rPr>
      </w:pPr>
      <w:r>
        <w:rPr>
          <w:b/>
          <w:sz w:val="22"/>
          <w:szCs w:val="22"/>
        </w:rPr>
        <w:t>St. Mary’s County Arts Council</w:t>
      </w:r>
      <w:r w:rsidR="00895296">
        <w:rPr>
          <w:b/>
          <w:sz w:val="22"/>
          <w:szCs w:val="22"/>
        </w:rPr>
        <w:t xml:space="preserve"> (SMCAC)</w:t>
      </w:r>
    </w:p>
    <w:p w14:paraId="0B2093E2" w14:textId="77777777" w:rsidR="00671265" w:rsidRPr="00671265" w:rsidRDefault="00671265">
      <w:pPr>
        <w:jc w:val="center"/>
        <w:rPr>
          <w:sz w:val="22"/>
          <w:szCs w:val="22"/>
        </w:rPr>
      </w:pPr>
      <w:r>
        <w:rPr>
          <w:b/>
          <w:sz w:val="22"/>
          <w:szCs w:val="22"/>
        </w:rPr>
        <w:t>GUIDELINES FOR GRANT APPLICATION</w:t>
      </w:r>
      <w:r w:rsidR="00DF463B">
        <w:rPr>
          <w:b/>
          <w:sz w:val="22"/>
          <w:szCs w:val="22"/>
        </w:rPr>
        <w:t>S</w:t>
      </w:r>
    </w:p>
    <w:p w14:paraId="7BD604CA" w14:textId="77777777" w:rsidR="00252A54" w:rsidRDefault="00252A54"/>
    <w:p w14:paraId="5C82A25B" w14:textId="77777777" w:rsidR="00895296" w:rsidRDefault="00252A54">
      <w:pPr>
        <w:ind w:firstLine="720"/>
      </w:pPr>
      <w:r>
        <w:t xml:space="preserve">The purpose of the St. </w:t>
      </w:r>
      <w:r w:rsidR="00834FD1">
        <w:t>Mary’s</w:t>
      </w:r>
      <w:r>
        <w:t xml:space="preserve"> County Arts Council is to</w:t>
      </w:r>
      <w:r w:rsidR="00895296">
        <w:t>:</w:t>
      </w:r>
    </w:p>
    <w:p w14:paraId="1A9B6955" w14:textId="77777777" w:rsidR="00CD2BC5" w:rsidRPr="00CD2BC5" w:rsidRDefault="00CD2BC5">
      <w:pPr>
        <w:ind w:firstLine="720"/>
        <w:rPr>
          <w:sz w:val="10"/>
          <w:szCs w:val="10"/>
        </w:rPr>
      </w:pPr>
    </w:p>
    <w:p w14:paraId="5724A769" w14:textId="77777777" w:rsidR="00895296" w:rsidRDefault="00252A54" w:rsidP="00895296">
      <w:pPr>
        <w:pStyle w:val="ListParagraph"/>
        <w:numPr>
          <w:ilvl w:val="0"/>
          <w:numId w:val="9"/>
        </w:numPr>
      </w:pPr>
      <w:r>
        <w:t>increase the</w:t>
      </w:r>
      <w:r w:rsidR="00895296">
        <w:t xml:space="preserve"> </w:t>
      </w:r>
      <w:r>
        <w:t>county</w:t>
      </w:r>
      <w:r w:rsidR="00895296">
        <w:t xml:space="preserve"> and </w:t>
      </w:r>
      <w:r w:rsidR="00834FD1">
        <w:t>community’s</w:t>
      </w:r>
      <w:r>
        <w:t xml:space="preserve"> awareness of the value of the arts and how the arts can enhance the quality of </w:t>
      </w:r>
      <w:r w:rsidR="00895296">
        <w:t xml:space="preserve">both </w:t>
      </w:r>
      <w:r>
        <w:t>our community and individual lives</w:t>
      </w:r>
    </w:p>
    <w:p w14:paraId="34375690" w14:textId="77777777" w:rsidR="00895296" w:rsidRDefault="00252A54" w:rsidP="00895296">
      <w:pPr>
        <w:pStyle w:val="ListParagraph"/>
        <w:numPr>
          <w:ilvl w:val="0"/>
          <w:numId w:val="9"/>
        </w:numPr>
      </w:pPr>
      <w:r>
        <w:t xml:space="preserve">to foster and encourage the development of the arts and artists in St. </w:t>
      </w:r>
      <w:r w:rsidR="00834FD1">
        <w:t>Mary’s</w:t>
      </w:r>
      <w:r>
        <w:t xml:space="preserve"> County</w:t>
      </w:r>
    </w:p>
    <w:p w14:paraId="4A00AFF9" w14:textId="77777777" w:rsidR="00252A54" w:rsidRDefault="00252A54" w:rsidP="00895296">
      <w:pPr>
        <w:pStyle w:val="ListParagraph"/>
        <w:numPr>
          <w:ilvl w:val="0"/>
          <w:numId w:val="9"/>
        </w:numPr>
      </w:pPr>
      <w:r>
        <w:t>and to serve as a subsidiary of the Maryland State Arts Council to receive, review, and approve local project grant applications worthy of County and State support.</w:t>
      </w:r>
    </w:p>
    <w:p w14:paraId="176BBF3F" w14:textId="77777777" w:rsidR="00252A54" w:rsidRDefault="00252A54"/>
    <w:p w14:paraId="1B949AEC" w14:textId="77777777" w:rsidR="00252A54" w:rsidRDefault="00252A54">
      <w:pPr>
        <w:rPr>
          <w:b/>
        </w:rPr>
      </w:pPr>
      <w:r>
        <w:rPr>
          <w:b/>
        </w:rPr>
        <w:t>REQUIREMENTS</w:t>
      </w:r>
      <w:r>
        <w:t xml:space="preserve"> for organizations receiving grants from the </w:t>
      </w:r>
      <w:r>
        <w:rPr>
          <w:b/>
        </w:rPr>
        <w:t>SMCAC</w:t>
      </w:r>
    </w:p>
    <w:p w14:paraId="2F080AB4" w14:textId="77777777" w:rsidR="00895296" w:rsidRDefault="00895296"/>
    <w:p w14:paraId="628F735B" w14:textId="77777777" w:rsidR="00252A54" w:rsidRDefault="00252A54" w:rsidP="00834FD1">
      <w:pPr>
        <w:pStyle w:val="a"/>
        <w:numPr>
          <w:ilvl w:val="0"/>
          <w:numId w:val="4"/>
        </w:numPr>
        <w:tabs>
          <w:tab w:val="left" w:pos="-1440"/>
        </w:tabs>
      </w:pPr>
      <w:r>
        <w:t>Must have been in existence for one year prior to the application</w:t>
      </w:r>
    </w:p>
    <w:p w14:paraId="34494D57" w14:textId="77777777" w:rsidR="00CD13D6" w:rsidRDefault="00CD13D6" w:rsidP="00834FD1">
      <w:pPr>
        <w:pStyle w:val="a"/>
        <w:numPr>
          <w:ilvl w:val="0"/>
          <w:numId w:val="4"/>
        </w:numPr>
        <w:tabs>
          <w:tab w:val="left" w:pos="-1440"/>
        </w:tabs>
      </w:pPr>
      <w:r>
        <w:t>Must have been both incorporated in Maryland as a not-for-profit and have received tax exempt status from the U.S. Internal Revenue Service, Units of government, colleges and universities are also eligible to apply</w:t>
      </w:r>
    </w:p>
    <w:p w14:paraId="7B28CFEE" w14:textId="1A6EE626" w:rsidR="00252A54" w:rsidRDefault="00252A54" w:rsidP="00834FD1">
      <w:pPr>
        <w:pStyle w:val="a"/>
        <w:numPr>
          <w:ilvl w:val="0"/>
          <w:numId w:val="4"/>
        </w:numPr>
        <w:tabs>
          <w:tab w:val="left" w:pos="-1440"/>
        </w:tabs>
      </w:pPr>
      <w:r>
        <w:t xml:space="preserve">All performances, exhibits, and/or classes must be held within St. </w:t>
      </w:r>
      <w:r w:rsidR="00834FD1">
        <w:t>Mary’s</w:t>
      </w:r>
      <w:r>
        <w:t xml:space="preserve"> County and be open to the </w:t>
      </w:r>
      <w:proofErr w:type="gramStart"/>
      <w:r>
        <w:t>general public</w:t>
      </w:r>
      <w:proofErr w:type="gramEnd"/>
      <w:r w:rsidR="009140B4">
        <w:t>.</w:t>
      </w:r>
    </w:p>
    <w:p w14:paraId="67BDC8AE" w14:textId="77777777" w:rsidR="00252A54" w:rsidRDefault="00252A54" w:rsidP="00834FD1">
      <w:pPr>
        <w:pStyle w:val="a"/>
        <w:numPr>
          <w:ilvl w:val="0"/>
          <w:numId w:val="4"/>
        </w:numPr>
        <w:tabs>
          <w:tab w:val="left" w:pos="-1440"/>
        </w:tabs>
      </w:pPr>
      <w:r>
        <w:rPr>
          <w:b/>
        </w:rPr>
        <w:t>Must not have any Final Reports outstanding</w:t>
      </w:r>
      <w:r w:rsidR="00161F8E">
        <w:rPr>
          <w:b/>
        </w:rPr>
        <w:t>.  A final report form will be provided by SMCAC accompanying the contract.  This final report must be filed within 30 days of the completion of the event</w:t>
      </w:r>
      <w:r w:rsidR="00895296">
        <w:rPr>
          <w:b/>
        </w:rPr>
        <w:t>.</w:t>
      </w:r>
    </w:p>
    <w:p w14:paraId="76C8B8B6" w14:textId="77777777" w:rsidR="00252A54" w:rsidRDefault="00252A54" w:rsidP="00834FD1">
      <w:pPr>
        <w:pStyle w:val="a"/>
        <w:numPr>
          <w:ilvl w:val="0"/>
          <w:numId w:val="4"/>
        </w:numPr>
        <w:tabs>
          <w:tab w:val="left" w:pos="-1440"/>
        </w:tabs>
      </w:pPr>
      <w:r>
        <w:t xml:space="preserve">Recognition for the grant must be given to the </w:t>
      </w:r>
      <w:r>
        <w:rPr>
          <w:b/>
        </w:rPr>
        <w:t xml:space="preserve">St. </w:t>
      </w:r>
      <w:r w:rsidR="00834FD1">
        <w:rPr>
          <w:b/>
        </w:rPr>
        <w:t>Mary’s</w:t>
      </w:r>
      <w:r>
        <w:rPr>
          <w:b/>
        </w:rPr>
        <w:t xml:space="preserve"> County Arts Council and the Maryland State Arts Council</w:t>
      </w:r>
      <w:r>
        <w:t xml:space="preserve"> in all public service announcements, programs, press releases, </w:t>
      </w:r>
      <w:r w:rsidR="00161F8E">
        <w:t xml:space="preserve">web sites, </w:t>
      </w:r>
      <w:r>
        <w:t>etc.</w:t>
      </w:r>
    </w:p>
    <w:p w14:paraId="0D6327D7" w14:textId="77777777" w:rsidR="00161F8E" w:rsidRDefault="00DA49CC" w:rsidP="00834FD1">
      <w:pPr>
        <w:pStyle w:val="a"/>
        <w:numPr>
          <w:ilvl w:val="0"/>
          <w:numId w:val="4"/>
        </w:numPr>
        <w:tabs>
          <w:tab w:val="left" w:pos="-1440"/>
        </w:tabs>
      </w:pPr>
      <w:r>
        <w:t>Four</w:t>
      </w:r>
      <w:r w:rsidR="00161F8E">
        <w:t xml:space="preserve"> tickets or complimentary passes to the event must be forwarded to the Arts Council to be used at its discretion </w:t>
      </w:r>
      <w:r w:rsidR="00895296">
        <w:t xml:space="preserve">at least </w:t>
      </w:r>
      <w:r w:rsidR="00161F8E">
        <w:t>one month prior to the event.</w:t>
      </w:r>
    </w:p>
    <w:p w14:paraId="2FFC1130" w14:textId="77777777" w:rsidR="00252A54" w:rsidRDefault="00252A54" w:rsidP="00834FD1">
      <w:pPr>
        <w:pStyle w:val="a"/>
        <w:numPr>
          <w:ilvl w:val="0"/>
          <w:numId w:val="4"/>
        </w:numPr>
        <w:tabs>
          <w:tab w:val="left" w:pos="-1440"/>
        </w:tabs>
      </w:pPr>
      <w:r>
        <w:t>Must comply with Title VI, Section 601, of the Civil Rights Act of 1964 which states that no persons, on the grounds of race, color, or national origin, shall be excluded from participation in, be denied the benefits of, or be subjected to discrimination to the arts</w:t>
      </w:r>
    </w:p>
    <w:p w14:paraId="742C2D1C" w14:textId="2B8001D1" w:rsidR="00252A54" w:rsidRDefault="00252A54" w:rsidP="00834FD1">
      <w:pPr>
        <w:pStyle w:val="a"/>
        <w:numPr>
          <w:ilvl w:val="0"/>
          <w:numId w:val="4"/>
        </w:numPr>
        <w:tabs>
          <w:tab w:val="left" w:pos="-1440"/>
        </w:tabs>
      </w:pPr>
      <w:r>
        <w:t xml:space="preserve">Must comply with the Title IV, Section 1681, of the Education Amendments of 1972, and the Age Discrimination Action, Section 6101, of 1975, which prohibits discrimination </w:t>
      </w:r>
      <w:proofErr w:type="gramStart"/>
      <w:r>
        <w:t>on the basis of</w:t>
      </w:r>
      <w:proofErr w:type="gramEnd"/>
      <w:r>
        <w:t xml:space="preserve"> sex or age</w:t>
      </w:r>
      <w:r w:rsidR="009140B4">
        <w:t>.</w:t>
      </w:r>
    </w:p>
    <w:p w14:paraId="5DCB80BC" w14:textId="68D289BD" w:rsidR="00252A54" w:rsidRDefault="00252A54" w:rsidP="00834FD1">
      <w:pPr>
        <w:pStyle w:val="a"/>
        <w:numPr>
          <w:ilvl w:val="0"/>
          <w:numId w:val="4"/>
        </w:numPr>
        <w:tabs>
          <w:tab w:val="left" w:pos="-1440"/>
        </w:tabs>
      </w:pPr>
      <w:r>
        <w:t xml:space="preserve">Must comply with Section 504 of the Rehabilitation Act of 1973, </w:t>
      </w:r>
      <w:r w:rsidR="00CD13D6">
        <w:t xml:space="preserve">as amended, and the Americans with Disabilities Act of 1990, </w:t>
      </w:r>
      <w:r>
        <w:t>which states t</w:t>
      </w:r>
      <w:r w:rsidR="00CD13D6">
        <w:t>h</w:t>
      </w:r>
      <w:r>
        <w:t>at no otherwise qualified person shall, solely by reason of his or her handicap, be excluded from participation in, be denied the benefits of, or be subjected to discrimination related to the arts</w:t>
      </w:r>
      <w:r w:rsidR="009140B4">
        <w:t>.</w:t>
      </w:r>
    </w:p>
    <w:p w14:paraId="631685FC" w14:textId="6FFAF731" w:rsidR="00CD13D6" w:rsidRDefault="00CD13D6" w:rsidP="00834FD1">
      <w:pPr>
        <w:pStyle w:val="a"/>
        <w:numPr>
          <w:ilvl w:val="0"/>
          <w:numId w:val="4"/>
        </w:numPr>
        <w:tabs>
          <w:tab w:val="left" w:pos="-1440"/>
        </w:tabs>
      </w:pPr>
      <w:r>
        <w:t xml:space="preserve">Supplementary materials must be provided which can include catalogues, reviews, programs, </w:t>
      </w:r>
      <w:proofErr w:type="gramStart"/>
      <w:r>
        <w:t>brochures</w:t>
      </w:r>
      <w:proofErr w:type="gramEnd"/>
      <w:r>
        <w:t xml:space="preserve"> or promotional materials related to the artists/performers of the proposed project</w:t>
      </w:r>
      <w:r w:rsidR="009140B4">
        <w:t>.</w:t>
      </w:r>
    </w:p>
    <w:p w14:paraId="721EFEA5" w14:textId="77777777" w:rsidR="00252A54" w:rsidRDefault="00252A54"/>
    <w:p w14:paraId="2A1BE193" w14:textId="77777777" w:rsidR="00CD2BC5" w:rsidRDefault="00CD2BC5">
      <w:pPr>
        <w:rPr>
          <w:b/>
          <w:sz w:val="28"/>
        </w:rPr>
      </w:pPr>
    </w:p>
    <w:p w14:paraId="0AA991F5" w14:textId="77777777" w:rsidR="00CD2BC5" w:rsidRDefault="00CD2BC5">
      <w:pPr>
        <w:rPr>
          <w:b/>
          <w:sz w:val="28"/>
        </w:rPr>
      </w:pPr>
    </w:p>
    <w:p w14:paraId="26511768" w14:textId="77777777" w:rsidR="00CD2BC5" w:rsidRDefault="00CD2BC5">
      <w:pPr>
        <w:rPr>
          <w:b/>
          <w:sz w:val="28"/>
        </w:rPr>
      </w:pPr>
    </w:p>
    <w:p w14:paraId="0FFBBB7D" w14:textId="77777777" w:rsidR="00252A54" w:rsidRDefault="00252A54">
      <w:pPr>
        <w:rPr>
          <w:b/>
          <w:sz w:val="28"/>
        </w:rPr>
      </w:pPr>
      <w:r>
        <w:rPr>
          <w:b/>
          <w:sz w:val="28"/>
        </w:rPr>
        <w:lastRenderedPageBreak/>
        <w:t>FUNDING CATEGORIES</w:t>
      </w:r>
    </w:p>
    <w:p w14:paraId="4754618F" w14:textId="77777777" w:rsidR="00CD2BC5" w:rsidRPr="00CD2BC5" w:rsidRDefault="00CD2BC5">
      <w:pPr>
        <w:rPr>
          <w:sz w:val="10"/>
          <w:szCs w:val="10"/>
        </w:rPr>
      </w:pPr>
    </w:p>
    <w:p w14:paraId="0B2F78CE" w14:textId="28532341" w:rsidR="00252A54" w:rsidRDefault="00252A54">
      <w:pPr>
        <w:ind w:firstLine="720"/>
      </w:pPr>
      <w:r>
        <w:t xml:space="preserve">To be considered for funding, a project must be directly related to the arts.  These categories are usually: </w:t>
      </w:r>
      <w:r w:rsidR="00834FD1">
        <w:t>Children’s</w:t>
      </w:r>
      <w:r>
        <w:t xml:space="preserve"> Arts Events</w:t>
      </w:r>
      <w:r w:rsidR="000A24AE">
        <w:t xml:space="preserve"> • </w:t>
      </w:r>
      <w:r>
        <w:t>Dance</w:t>
      </w:r>
      <w:r w:rsidR="000A24AE">
        <w:t xml:space="preserve"> • </w:t>
      </w:r>
      <w:r>
        <w:t>Folk Art</w:t>
      </w:r>
      <w:r w:rsidR="000A24AE">
        <w:t xml:space="preserve"> • </w:t>
      </w:r>
      <w:r>
        <w:t>Literature</w:t>
      </w:r>
      <w:r w:rsidR="000A24AE">
        <w:t xml:space="preserve"> • </w:t>
      </w:r>
      <w:r>
        <w:t>Music</w:t>
      </w:r>
      <w:r w:rsidR="000A24AE">
        <w:t xml:space="preserve"> • </w:t>
      </w:r>
      <w:r w:rsidR="007E0F36">
        <w:t>multi-Discipline</w:t>
      </w:r>
      <w:r w:rsidR="000A24AE">
        <w:t xml:space="preserve"> • </w:t>
      </w:r>
      <w:r>
        <w:t>Media</w:t>
      </w:r>
      <w:r w:rsidR="000A24AE">
        <w:t xml:space="preserve"> • </w:t>
      </w:r>
      <w:r>
        <w:t>Theater</w:t>
      </w:r>
      <w:r w:rsidR="000A24AE">
        <w:t xml:space="preserve"> • </w:t>
      </w:r>
      <w:r>
        <w:t>Visual Arts.</w:t>
      </w:r>
    </w:p>
    <w:p w14:paraId="373A1FBF" w14:textId="77777777" w:rsidR="000A24AE" w:rsidRPr="00E53317" w:rsidRDefault="00E53317">
      <w:pPr>
        <w:ind w:firstLine="720"/>
        <w:rPr>
          <w:b/>
          <w:color w:val="000000"/>
        </w:rPr>
      </w:pPr>
      <w:r w:rsidRPr="00E53317">
        <w:rPr>
          <w:b/>
          <w:color w:val="000000"/>
        </w:rPr>
        <w:t>Grants</w:t>
      </w:r>
      <w:r w:rsidR="000A24AE" w:rsidRPr="00E53317">
        <w:rPr>
          <w:b/>
          <w:color w:val="000000"/>
        </w:rPr>
        <w:t xml:space="preserve"> for an organization or event shall not exceed $5,000 per Fi</w:t>
      </w:r>
      <w:r w:rsidR="0060022F" w:rsidRPr="00E53317">
        <w:rPr>
          <w:b/>
          <w:color w:val="000000"/>
        </w:rPr>
        <w:t>s</w:t>
      </w:r>
      <w:r w:rsidR="000A24AE" w:rsidRPr="00E53317">
        <w:rPr>
          <w:b/>
          <w:color w:val="000000"/>
        </w:rPr>
        <w:t>cal Year.</w:t>
      </w:r>
    </w:p>
    <w:p w14:paraId="4BE0C2F8" w14:textId="77777777" w:rsidR="00252A54" w:rsidRDefault="00252A54"/>
    <w:p w14:paraId="08A4831B" w14:textId="77777777" w:rsidR="00252A54" w:rsidRDefault="00252A54">
      <w:pPr>
        <w:rPr>
          <w:b/>
          <w:sz w:val="28"/>
        </w:rPr>
      </w:pPr>
      <w:r>
        <w:rPr>
          <w:b/>
          <w:sz w:val="28"/>
        </w:rPr>
        <w:t>NON-QUALIFYING PROJECTS</w:t>
      </w:r>
    </w:p>
    <w:p w14:paraId="2A466293" w14:textId="77777777" w:rsidR="00CD2BC5" w:rsidRPr="00CD2BC5" w:rsidRDefault="00CD2BC5">
      <w:pPr>
        <w:rPr>
          <w:sz w:val="10"/>
          <w:szCs w:val="10"/>
        </w:rPr>
      </w:pPr>
    </w:p>
    <w:p w14:paraId="69406AFB" w14:textId="72819954" w:rsidR="00252A54" w:rsidRDefault="00252A54">
      <w:pPr>
        <w:ind w:firstLine="720"/>
      </w:pPr>
      <w:r>
        <w:t xml:space="preserve">Grants will not be awarded for any of the following: </w:t>
      </w:r>
      <w:r w:rsidR="00CD13D6">
        <w:t xml:space="preserve">re-granting, </w:t>
      </w:r>
      <w:r>
        <w:t xml:space="preserve">capital construction and/or equipment purchases, social functions, parties and receptions, </w:t>
      </w:r>
      <w:r w:rsidR="00CD13D6">
        <w:t xml:space="preserve">loan principal payments, pro-rated salaries, rent, utilities, </w:t>
      </w:r>
      <w:r>
        <w:t xml:space="preserve">activities that benefit only the members of an organization or those activities closed to all but an organizations membership, </w:t>
      </w:r>
      <w:r w:rsidR="00CD47CC">
        <w:t xml:space="preserve">transportation, </w:t>
      </w:r>
      <w:r>
        <w:t xml:space="preserve">general operating expenses not directly associated with an arts event, program, or project, and </w:t>
      </w:r>
      <w:r w:rsidR="007E0F36">
        <w:t>fund-raising</w:t>
      </w:r>
      <w:r>
        <w:t xml:space="preserve"> events.</w:t>
      </w:r>
    </w:p>
    <w:p w14:paraId="67550742" w14:textId="77777777" w:rsidR="00C24A2B" w:rsidRDefault="00C24A2B">
      <w:pPr>
        <w:rPr>
          <w:b/>
          <w:sz w:val="28"/>
        </w:rPr>
      </w:pPr>
    </w:p>
    <w:p w14:paraId="44045448" w14:textId="77777777" w:rsidR="00252A54" w:rsidRDefault="00252A54">
      <w:pPr>
        <w:rPr>
          <w:b/>
          <w:sz w:val="28"/>
        </w:rPr>
      </w:pPr>
      <w:r>
        <w:rPr>
          <w:b/>
          <w:sz w:val="28"/>
        </w:rPr>
        <w:t>DEADLINES</w:t>
      </w:r>
    </w:p>
    <w:p w14:paraId="58DC8E25" w14:textId="77777777" w:rsidR="009140B4" w:rsidRPr="009140B4" w:rsidRDefault="009140B4">
      <w:pPr>
        <w:rPr>
          <w:b/>
          <w:szCs w:val="24"/>
        </w:rPr>
      </w:pPr>
    </w:p>
    <w:p w14:paraId="346AC377" w14:textId="77777777" w:rsidR="009140B4" w:rsidRPr="009140B4" w:rsidRDefault="009140B4">
      <w:pPr>
        <w:rPr>
          <w:color w:val="000000" w:themeColor="text1"/>
          <w:szCs w:val="24"/>
          <w:shd w:val="clear" w:color="auto" w:fill="FFFFFF"/>
        </w:rPr>
      </w:pPr>
      <w:r w:rsidRPr="009140B4">
        <w:rPr>
          <w:color w:val="000000" w:themeColor="text1"/>
          <w:szCs w:val="24"/>
          <w:shd w:val="clear" w:color="auto" w:fill="FFFFFF"/>
        </w:rPr>
        <w:t xml:space="preserve">The SMCAC strives to provide funding to all qualified applicants. Grants are awarded throughout the fiscal year, which runs from July 1 – June 30. Grants for Non-Profit Organizations, Arts in Education Grants and Sponsorships will be accepted on a rolling basis throughout the year. Organizations may apply for a grant at any time during the fiscal year or in the first quarter of the next fiscal year </w:t>
      </w:r>
      <w:proofErr w:type="gramStart"/>
      <w:r w:rsidRPr="009140B4">
        <w:rPr>
          <w:color w:val="000000" w:themeColor="text1"/>
          <w:szCs w:val="24"/>
          <w:shd w:val="clear" w:color="auto" w:fill="FFFFFF"/>
        </w:rPr>
        <w:t>in order to</w:t>
      </w:r>
      <w:proofErr w:type="gramEnd"/>
      <w:r w:rsidRPr="009140B4">
        <w:rPr>
          <w:color w:val="000000" w:themeColor="text1"/>
          <w:szCs w:val="24"/>
          <w:shd w:val="clear" w:color="auto" w:fill="FFFFFF"/>
        </w:rPr>
        <w:t xml:space="preserve"> accommodate summer events. </w:t>
      </w:r>
    </w:p>
    <w:p w14:paraId="7935BB00" w14:textId="77777777" w:rsidR="009140B4" w:rsidRPr="009140B4" w:rsidRDefault="009140B4">
      <w:pPr>
        <w:rPr>
          <w:color w:val="000000" w:themeColor="text1"/>
          <w:szCs w:val="24"/>
          <w:shd w:val="clear" w:color="auto" w:fill="FFFFFF"/>
        </w:rPr>
      </w:pPr>
    </w:p>
    <w:p w14:paraId="39BB9C3D" w14:textId="77777777" w:rsidR="009140B4" w:rsidRPr="009140B4" w:rsidRDefault="009140B4">
      <w:pPr>
        <w:rPr>
          <w:color w:val="000000" w:themeColor="text1"/>
          <w:szCs w:val="24"/>
          <w:shd w:val="clear" w:color="auto" w:fill="FFFFFF"/>
        </w:rPr>
      </w:pPr>
      <w:r w:rsidRPr="009140B4">
        <w:rPr>
          <w:color w:val="000000" w:themeColor="text1"/>
          <w:szCs w:val="24"/>
          <w:shd w:val="clear" w:color="auto" w:fill="FFFFFF"/>
        </w:rPr>
        <w:t xml:space="preserve">We encourage applicants to apply as early as possible so that if denied, reapplication is possible for the next window. If the grant requests exceed our funding, we will refer to a rubric for evaluating applications and make awards to the top-scoring applications. Applications will be reviewed on the schedule shown below. </w:t>
      </w:r>
    </w:p>
    <w:p w14:paraId="708AEFEB" w14:textId="77777777" w:rsidR="009140B4" w:rsidRPr="009140B4" w:rsidRDefault="009140B4">
      <w:pPr>
        <w:rPr>
          <w:color w:val="000000" w:themeColor="text1"/>
          <w:szCs w:val="24"/>
          <w:shd w:val="clear" w:color="auto" w:fill="FFFFFF"/>
        </w:rPr>
      </w:pPr>
    </w:p>
    <w:p w14:paraId="3B778048" w14:textId="6D65AC2B" w:rsidR="009140B4" w:rsidRPr="009140B4" w:rsidRDefault="009140B4">
      <w:pPr>
        <w:rPr>
          <w:b/>
          <w:color w:val="000000" w:themeColor="text1"/>
          <w:szCs w:val="24"/>
        </w:rPr>
      </w:pPr>
      <w:r w:rsidRPr="009140B4">
        <w:rPr>
          <w:color w:val="000000" w:themeColor="text1"/>
          <w:szCs w:val="24"/>
          <w:shd w:val="clear" w:color="auto" w:fill="FFFFFF"/>
        </w:rPr>
        <w:t>Requests will be evaluated at SMCAC public board meetings, held on the second Tuesday of the month at 5 pm. Approved grant processing will be initiated within 14 days of approval. Initial payments of 75% of the total grant amount will be dispensed upon contract execution. The remaining 25% will be awarded upon review of a final report after the program’s completion. The SMCAC caps awards to any single recipient at a maximum of $5000 per fiscal year, across award categories.</w:t>
      </w:r>
    </w:p>
    <w:p w14:paraId="752217CF" w14:textId="77777777" w:rsidR="00CD2BC5" w:rsidRPr="00CD2BC5" w:rsidRDefault="00CD2BC5">
      <w:pPr>
        <w:rPr>
          <w:sz w:val="10"/>
          <w:szCs w:val="10"/>
        </w:rPr>
      </w:pPr>
    </w:p>
    <w:p w14:paraId="62BDDA05" w14:textId="77777777" w:rsidR="009140B4" w:rsidRDefault="009140B4" w:rsidP="009140B4">
      <w:pPr>
        <w:widowControl/>
        <w:shd w:val="clear" w:color="auto" w:fill="FFFFFF"/>
        <w:spacing w:after="288" w:line="288" w:lineRule="atLeast"/>
        <w:rPr>
          <w:snapToGrid/>
          <w:color w:val="000000" w:themeColor="text1"/>
          <w:szCs w:val="24"/>
        </w:rPr>
      </w:pPr>
      <w:r w:rsidRPr="009140B4">
        <w:rPr>
          <w:snapToGrid/>
          <w:color w:val="000000" w:themeColor="text1"/>
          <w:szCs w:val="24"/>
        </w:rPr>
        <w:t>Applications received by:</w:t>
      </w:r>
    </w:p>
    <w:p w14:paraId="321C8346" w14:textId="13C0B3C9" w:rsidR="009140B4" w:rsidRPr="009140B4" w:rsidRDefault="009140B4" w:rsidP="009140B4">
      <w:pPr>
        <w:pStyle w:val="ListParagraph"/>
        <w:widowControl/>
        <w:numPr>
          <w:ilvl w:val="0"/>
          <w:numId w:val="11"/>
        </w:numPr>
        <w:shd w:val="clear" w:color="auto" w:fill="FFFFFF"/>
        <w:spacing w:after="288" w:line="288" w:lineRule="atLeast"/>
        <w:rPr>
          <w:snapToGrid/>
          <w:color w:val="000000" w:themeColor="text1"/>
          <w:szCs w:val="24"/>
        </w:rPr>
      </w:pPr>
      <w:r w:rsidRPr="009140B4">
        <w:rPr>
          <w:snapToGrid/>
          <w:color w:val="000000" w:themeColor="text1"/>
          <w:szCs w:val="24"/>
        </w:rPr>
        <w:t>August 31 will be reviewed in September</w:t>
      </w:r>
      <w:r w:rsidRPr="009140B4">
        <w:rPr>
          <w:snapToGrid/>
          <w:color w:val="000000" w:themeColor="text1"/>
          <w:szCs w:val="24"/>
        </w:rPr>
        <w:t>.</w:t>
      </w:r>
    </w:p>
    <w:p w14:paraId="0AE4ED39" w14:textId="658E2559" w:rsidR="009140B4" w:rsidRPr="009140B4" w:rsidRDefault="009140B4" w:rsidP="009140B4">
      <w:pPr>
        <w:pStyle w:val="ListParagraph"/>
        <w:widowControl/>
        <w:numPr>
          <w:ilvl w:val="0"/>
          <w:numId w:val="11"/>
        </w:numPr>
        <w:shd w:val="clear" w:color="auto" w:fill="FFFFFF"/>
        <w:spacing w:after="288" w:line="288" w:lineRule="atLeast"/>
        <w:rPr>
          <w:snapToGrid/>
          <w:color w:val="000000" w:themeColor="text1"/>
          <w:szCs w:val="24"/>
        </w:rPr>
      </w:pPr>
      <w:r w:rsidRPr="009140B4">
        <w:rPr>
          <w:snapToGrid/>
          <w:color w:val="000000" w:themeColor="text1"/>
          <w:szCs w:val="24"/>
        </w:rPr>
        <w:t>October 31 will be reviewed in November</w:t>
      </w:r>
      <w:r w:rsidRPr="009140B4">
        <w:rPr>
          <w:snapToGrid/>
          <w:color w:val="000000" w:themeColor="text1"/>
          <w:szCs w:val="24"/>
        </w:rPr>
        <w:t>.</w:t>
      </w:r>
    </w:p>
    <w:p w14:paraId="0B6D608D" w14:textId="463BC829" w:rsidR="009140B4" w:rsidRPr="009140B4" w:rsidRDefault="009140B4" w:rsidP="009140B4">
      <w:pPr>
        <w:pStyle w:val="ListParagraph"/>
        <w:widowControl/>
        <w:numPr>
          <w:ilvl w:val="0"/>
          <w:numId w:val="11"/>
        </w:numPr>
        <w:shd w:val="clear" w:color="auto" w:fill="FFFFFF"/>
        <w:spacing w:after="288" w:line="288" w:lineRule="atLeast"/>
        <w:rPr>
          <w:snapToGrid/>
          <w:color w:val="000000" w:themeColor="text1"/>
          <w:szCs w:val="24"/>
        </w:rPr>
      </w:pPr>
      <w:r w:rsidRPr="009140B4">
        <w:rPr>
          <w:snapToGrid/>
          <w:color w:val="000000" w:themeColor="text1"/>
          <w:szCs w:val="24"/>
        </w:rPr>
        <w:t xml:space="preserve">December 31 will be reviewed in </w:t>
      </w:r>
      <w:r w:rsidRPr="009140B4">
        <w:rPr>
          <w:snapToGrid/>
          <w:color w:val="000000" w:themeColor="text1"/>
          <w:szCs w:val="24"/>
        </w:rPr>
        <w:t>January.</w:t>
      </w:r>
    </w:p>
    <w:p w14:paraId="7E1DC794" w14:textId="193BAA9D" w:rsidR="009140B4" w:rsidRPr="009140B4" w:rsidRDefault="009140B4" w:rsidP="009140B4">
      <w:pPr>
        <w:pStyle w:val="ListParagraph"/>
        <w:widowControl/>
        <w:numPr>
          <w:ilvl w:val="0"/>
          <w:numId w:val="11"/>
        </w:numPr>
        <w:shd w:val="clear" w:color="auto" w:fill="FFFFFF"/>
        <w:spacing w:after="288" w:line="288" w:lineRule="atLeast"/>
        <w:rPr>
          <w:snapToGrid/>
          <w:color w:val="000000" w:themeColor="text1"/>
          <w:szCs w:val="24"/>
        </w:rPr>
      </w:pPr>
      <w:r w:rsidRPr="009140B4">
        <w:rPr>
          <w:snapToGrid/>
          <w:color w:val="000000" w:themeColor="text1"/>
          <w:szCs w:val="24"/>
        </w:rPr>
        <w:t>April 30 will be reviewed in May</w:t>
      </w:r>
      <w:r w:rsidRPr="009140B4">
        <w:rPr>
          <w:snapToGrid/>
          <w:color w:val="000000" w:themeColor="text1"/>
          <w:szCs w:val="24"/>
        </w:rPr>
        <w:t>.</w:t>
      </w:r>
    </w:p>
    <w:p w14:paraId="577E681C" w14:textId="77777777" w:rsidR="009140B4" w:rsidRPr="009140B4" w:rsidRDefault="009140B4" w:rsidP="009140B4">
      <w:pPr>
        <w:widowControl/>
        <w:shd w:val="clear" w:color="auto" w:fill="FFFFFF"/>
        <w:spacing w:line="288" w:lineRule="atLeast"/>
        <w:rPr>
          <w:snapToGrid/>
          <w:color w:val="000000" w:themeColor="text1"/>
          <w:szCs w:val="24"/>
        </w:rPr>
      </w:pPr>
      <w:r w:rsidRPr="009140B4">
        <w:rPr>
          <w:i/>
          <w:iCs/>
          <w:snapToGrid/>
          <w:color w:val="000000" w:themeColor="text1"/>
          <w:szCs w:val="24"/>
        </w:rPr>
        <w:t>*Grant disbursement may be impacted by the timing of our annual MSAC grant delivery. Every effort will be made to disburse approved grant funding as close to approval as possible.</w:t>
      </w:r>
      <w:r w:rsidRPr="009140B4">
        <w:rPr>
          <w:snapToGrid/>
          <w:color w:val="000000" w:themeColor="text1"/>
          <w:szCs w:val="24"/>
        </w:rPr>
        <w:t xml:space="preserve"> </w:t>
      </w:r>
    </w:p>
    <w:p w14:paraId="19E7C283" w14:textId="77777777" w:rsidR="009140B4" w:rsidRDefault="009140B4">
      <w:pPr>
        <w:ind w:firstLine="720"/>
      </w:pPr>
    </w:p>
    <w:p w14:paraId="41A4EBC7" w14:textId="6F2CE961" w:rsidR="009140B4" w:rsidRDefault="00252A54" w:rsidP="009140B4">
      <w:pPr>
        <w:ind w:firstLine="720"/>
      </w:pPr>
      <w:r>
        <w:t xml:space="preserve">Grant </w:t>
      </w:r>
      <w:r w:rsidR="00E83153">
        <w:t xml:space="preserve">applications </w:t>
      </w:r>
      <w:r>
        <w:t xml:space="preserve">may be postmarked the day that they are due. </w:t>
      </w:r>
      <w:r>
        <w:rPr>
          <w:b/>
        </w:rPr>
        <w:t>Written Statements of intent</w:t>
      </w:r>
      <w:r>
        <w:t xml:space="preserve"> </w:t>
      </w:r>
      <w:r w:rsidR="00E83153" w:rsidRPr="00E83153">
        <w:rPr>
          <w:b/>
        </w:rPr>
        <w:t>to apply</w:t>
      </w:r>
      <w:r w:rsidR="00E83153">
        <w:t xml:space="preserve"> </w:t>
      </w:r>
      <w:r>
        <w:t>are encouraged as soon as possible.</w:t>
      </w:r>
    </w:p>
    <w:p w14:paraId="4C04DEDB" w14:textId="77777777" w:rsidR="00252A54" w:rsidRDefault="00252A54"/>
    <w:p w14:paraId="71E64F86" w14:textId="77777777" w:rsidR="00252A54" w:rsidRDefault="00252A54">
      <w:pPr>
        <w:sectPr w:rsidR="00252A54" w:rsidSect="00BF7E27">
          <w:headerReference w:type="default" r:id="rId7"/>
          <w:footerReference w:type="even" r:id="rId8"/>
          <w:footerReference w:type="default" r:id="rId9"/>
          <w:endnotePr>
            <w:numFmt w:val="decimal"/>
          </w:endnotePr>
          <w:pgSz w:w="12240" w:h="15840"/>
          <w:pgMar w:top="720" w:right="864" w:bottom="806" w:left="1440" w:header="432" w:footer="1440" w:gutter="0"/>
          <w:cols w:space="720"/>
          <w:noEndnote/>
          <w:docGrid w:linePitch="326"/>
        </w:sectPr>
      </w:pPr>
    </w:p>
    <w:p w14:paraId="2B85AAF6" w14:textId="77777777" w:rsidR="00252A54" w:rsidRDefault="00252A54">
      <w:pPr>
        <w:rPr>
          <w:b/>
          <w:sz w:val="28"/>
        </w:rPr>
      </w:pPr>
      <w:r>
        <w:rPr>
          <w:b/>
          <w:sz w:val="28"/>
        </w:rPr>
        <w:t>TIPS FOR GRANT WRITING</w:t>
      </w:r>
    </w:p>
    <w:p w14:paraId="41FC6CC5" w14:textId="77777777" w:rsidR="00271945" w:rsidRPr="00271945" w:rsidRDefault="00271945">
      <w:pPr>
        <w:rPr>
          <w:sz w:val="10"/>
          <w:szCs w:val="10"/>
        </w:rPr>
      </w:pPr>
    </w:p>
    <w:p w14:paraId="0BE58D66" w14:textId="77777777" w:rsidR="00252A54" w:rsidRDefault="00252A54">
      <w:pPr>
        <w:pStyle w:val="1"/>
        <w:tabs>
          <w:tab w:val="left" w:pos="-1440"/>
          <w:tab w:val="num" w:pos="720"/>
        </w:tabs>
      </w:pPr>
      <w:r>
        <w:t xml:space="preserve">Grant writing is simply a budget for your event.  Keep accurate records of expenditures and income.  This will be helpful when filling out the </w:t>
      </w:r>
      <w:r>
        <w:rPr>
          <w:b/>
        </w:rPr>
        <w:t>Final Report</w:t>
      </w:r>
      <w:r>
        <w:t>.</w:t>
      </w:r>
    </w:p>
    <w:p w14:paraId="006E2EA4" w14:textId="77777777" w:rsidR="00252A54" w:rsidRPr="00CD2BC5" w:rsidRDefault="00252A54">
      <w:pPr>
        <w:rPr>
          <w:sz w:val="10"/>
          <w:szCs w:val="10"/>
        </w:rPr>
      </w:pPr>
    </w:p>
    <w:p w14:paraId="1DFFFFFA" w14:textId="7616D190" w:rsidR="00252A54" w:rsidRDefault="00252A54">
      <w:pPr>
        <w:pStyle w:val="1"/>
        <w:tabs>
          <w:tab w:val="left" w:pos="-1440"/>
          <w:tab w:val="num" w:pos="720"/>
        </w:tabs>
      </w:pPr>
      <w:r>
        <w:t>Describe the purpose of you</w:t>
      </w:r>
      <w:r w:rsidR="00BF7E27">
        <w:t>r</w:t>
      </w:r>
      <w:r>
        <w:t xml:space="preserve"> event clearly.  Show its artistic merit and benefit to the community.</w:t>
      </w:r>
    </w:p>
    <w:p w14:paraId="010BEEB8" w14:textId="77777777" w:rsidR="00252A54" w:rsidRPr="00CD2BC5" w:rsidRDefault="00252A54">
      <w:pPr>
        <w:rPr>
          <w:sz w:val="10"/>
          <w:szCs w:val="10"/>
        </w:rPr>
      </w:pPr>
    </w:p>
    <w:p w14:paraId="41D1C01B" w14:textId="77777777" w:rsidR="00252A54" w:rsidRDefault="00252A54">
      <w:pPr>
        <w:pStyle w:val="1"/>
        <w:tabs>
          <w:tab w:val="left" w:pos="-1440"/>
          <w:tab w:val="num" w:pos="720"/>
        </w:tabs>
      </w:pPr>
      <w:r>
        <w:t xml:space="preserve">Make sure the </w:t>
      </w:r>
      <w:r>
        <w:rPr>
          <w:b/>
        </w:rPr>
        <w:t>Grant Application</w:t>
      </w:r>
      <w:r>
        <w:t xml:space="preserve"> is typed or neatly printed and all additions are correct.  Keep a copy of all paperwork for your records.</w:t>
      </w:r>
    </w:p>
    <w:p w14:paraId="26C390EF" w14:textId="77777777" w:rsidR="00252A54" w:rsidRDefault="00252A54"/>
    <w:p w14:paraId="379BE23D" w14:textId="77777777" w:rsidR="00252A54" w:rsidRDefault="00252A54">
      <w:pPr>
        <w:rPr>
          <w:b/>
          <w:sz w:val="28"/>
        </w:rPr>
      </w:pPr>
      <w:r>
        <w:rPr>
          <w:b/>
          <w:sz w:val="28"/>
        </w:rPr>
        <w:t>APPLICATION PROCEDURES</w:t>
      </w:r>
    </w:p>
    <w:p w14:paraId="72430796" w14:textId="77777777" w:rsidR="00271945" w:rsidRPr="00271945" w:rsidRDefault="00271945">
      <w:pPr>
        <w:rPr>
          <w:b/>
          <w:sz w:val="10"/>
          <w:szCs w:val="10"/>
        </w:rPr>
      </w:pPr>
    </w:p>
    <w:p w14:paraId="108705FF" w14:textId="282A9F00" w:rsidR="00252A54" w:rsidRPr="007E0F36" w:rsidRDefault="00252A54" w:rsidP="007E0F36">
      <w:pPr>
        <w:pStyle w:val="ListParagraph"/>
        <w:numPr>
          <w:ilvl w:val="0"/>
          <w:numId w:val="10"/>
        </w:numPr>
        <w:rPr>
          <w:color w:val="000000"/>
        </w:rPr>
      </w:pPr>
      <w:r>
        <w:t>Applications must be typed or neatly printed.</w:t>
      </w:r>
      <w:r w:rsidRPr="007E0F36">
        <w:rPr>
          <w:b/>
        </w:rPr>
        <w:t xml:space="preserve">  If you generate your application on a computer, you must use our format.  Do not design your own forms</w:t>
      </w:r>
      <w:r>
        <w:t xml:space="preserve">.  </w:t>
      </w:r>
      <w:r w:rsidR="007E0F36">
        <w:t xml:space="preserve">To submit the application: </w:t>
      </w:r>
      <w:r w:rsidR="007E0F36" w:rsidRPr="007E0F36">
        <w:rPr>
          <w:color w:val="000000"/>
        </w:rPr>
        <w:t>send via e</w:t>
      </w:r>
      <w:r w:rsidR="00DA49CC" w:rsidRPr="007E0F36">
        <w:rPr>
          <w:color w:val="000000"/>
        </w:rPr>
        <w:t xml:space="preserve">mail </w:t>
      </w:r>
      <w:r w:rsidR="007E0F36">
        <w:rPr>
          <w:color w:val="000000"/>
        </w:rPr>
        <w:t xml:space="preserve">(preferred method) </w:t>
      </w:r>
      <w:r w:rsidR="00DA49CC" w:rsidRPr="007E0F36">
        <w:rPr>
          <w:color w:val="000000"/>
        </w:rPr>
        <w:t xml:space="preserve">to </w:t>
      </w:r>
      <w:hyperlink r:id="rId10" w:history="1">
        <w:r w:rsidR="00DA49CC" w:rsidRPr="007E0F36">
          <w:rPr>
            <w:rStyle w:val="Hyperlink"/>
            <w:color w:val="000000"/>
          </w:rPr>
          <w:t>info@smcart.org</w:t>
        </w:r>
      </w:hyperlink>
      <w:r w:rsidR="007E0F36" w:rsidRPr="007E0F36">
        <w:rPr>
          <w:color w:val="000000"/>
        </w:rPr>
        <w:t xml:space="preserve">, </w:t>
      </w:r>
      <w:r w:rsidR="00DA49CC" w:rsidRPr="007E0F36">
        <w:rPr>
          <w:color w:val="000000"/>
        </w:rPr>
        <w:t xml:space="preserve"> mail </w:t>
      </w:r>
      <w:r w:rsidR="007E0F36" w:rsidRPr="007E0F36">
        <w:rPr>
          <w:color w:val="000000"/>
        </w:rPr>
        <w:t xml:space="preserve">via the US Post Office to </w:t>
      </w:r>
      <w:r w:rsidR="00DA49CC" w:rsidRPr="007E0F36">
        <w:rPr>
          <w:color w:val="000000"/>
        </w:rPr>
        <w:t>the Arts Council address below</w:t>
      </w:r>
      <w:r w:rsidR="007E0F36" w:rsidRPr="007E0F36">
        <w:rPr>
          <w:color w:val="000000"/>
        </w:rPr>
        <w:t>, or hand-deliver to our office</w:t>
      </w:r>
      <w:r w:rsidR="007E0F36">
        <w:rPr>
          <w:color w:val="000000"/>
        </w:rPr>
        <w:t xml:space="preserve"> during open hours</w:t>
      </w:r>
      <w:r w:rsidR="007E0F36" w:rsidRPr="007E0F36">
        <w:rPr>
          <w:color w:val="000000"/>
        </w:rPr>
        <w:t>.</w:t>
      </w:r>
    </w:p>
    <w:p w14:paraId="3174D1A8" w14:textId="77777777" w:rsidR="007E0F36" w:rsidRDefault="007E0F36" w:rsidP="007E0F36"/>
    <w:p w14:paraId="699BDE10" w14:textId="2460F583" w:rsidR="007E0F36" w:rsidRDefault="007E0F36" w:rsidP="007E0F36">
      <w:pPr>
        <w:jc w:val="center"/>
        <w:rPr>
          <w:b/>
          <w:sz w:val="28"/>
        </w:rPr>
      </w:pPr>
      <w:r>
        <w:rPr>
          <w:b/>
          <w:sz w:val="28"/>
        </w:rPr>
        <w:t>Mailing address: ST. MARYS COUNTY ARTS COUNCIL</w:t>
      </w:r>
    </w:p>
    <w:p w14:paraId="1BA30952" w14:textId="52D4BB8F" w:rsidR="007E0F36" w:rsidRDefault="007E0F36" w:rsidP="007E0F36">
      <w:pPr>
        <w:ind w:left="2880"/>
        <w:rPr>
          <w:b/>
          <w:sz w:val="28"/>
        </w:rPr>
      </w:pPr>
      <w:r>
        <w:rPr>
          <w:b/>
          <w:sz w:val="28"/>
        </w:rPr>
        <w:t xml:space="preserve">     PO BOX 1310</w:t>
      </w:r>
    </w:p>
    <w:p w14:paraId="58A94BC8" w14:textId="1991A8D7" w:rsidR="007E0F36" w:rsidRDefault="007E0F36" w:rsidP="007E0F36">
      <w:pPr>
        <w:jc w:val="center"/>
      </w:pPr>
      <w:r>
        <w:rPr>
          <w:b/>
          <w:sz w:val="28"/>
        </w:rPr>
        <w:t xml:space="preserve">         LEONARDTOWN</w:t>
      </w:r>
      <w:r w:rsidR="00BF7E27">
        <w:rPr>
          <w:b/>
          <w:sz w:val="28"/>
        </w:rPr>
        <w:t xml:space="preserve">, </w:t>
      </w:r>
      <w:r>
        <w:rPr>
          <w:b/>
          <w:sz w:val="28"/>
        </w:rPr>
        <w:t>MD 20650</w:t>
      </w:r>
    </w:p>
    <w:p w14:paraId="0D95BBB9" w14:textId="77777777" w:rsidR="007E0F36" w:rsidRPr="007E0F36" w:rsidRDefault="007E0F36" w:rsidP="007E0F36">
      <w:pPr>
        <w:rPr>
          <w:color w:val="000000"/>
        </w:rPr>
      </w:pPr>
    </w:p>
    <w:p w14:paraId="26FDCEE5" w14:textId="77777777" w:rsidR="00252A54" w:rsidRPr="00CD2BC5" w:rsidRDefault="00252A54">
      <w:pPr>
        <w:rPr>
          <w:sz w:val="10"/>
          <w:szCs w:val="10"/>
        </w:rPr>
      </w:pPr>
    </w:p>
    <w:p w14:paraId="71F6F710" w14:textId="30EB311A" w:rsidR="00252A54" w:rsidRDefault="00252A54">
      <w:r>
        <w:t>2.</w:t>
      </w:r>
      <w:r>
        <w:tab/>
        <w:t xml:space="preserve">Application funds should be matched on a </w:t>
      </w:r>
      <w:r w:rsidR="007E0F36">
        <w:t>dollar-for-dollar</w:t>
      </w:r>
      <w:r>
        <w:t xml:space="preserve"> basis.  In-Kind services can </w:t>
      </w:r>
      <w:r>
        <w:tab/>
        <w:t xml:space="preserve">serve to support the match up to one quarter of the total project budget.  In-Kind services </w:t>
      </w:r>
      <w:r>
        <w:tab/>
        <w:t xml:space="preserve">are services which ordinarily would be paid for by your </w:t>
      </w:r>
      <w:r w:rsidR="007E0F36">
        <w:t>organization but</w:t>
      </w:r>
      <w:r>
        <w:t xml:space="preserve"> are being </w:t>
      </w:r>
      <w:r>
        <w:tab/>
        <w:t>voluntarily contributed to help carry out your activities.</w:t>
      </w:r>
      <w:r w:rsidR="00CD2BC5" w:rsidRPr="00CD2BC5">
        <w:rPr>
          <w:color w:val="C00000"/>
        </w:rPr>
        <w:t xml:space="preserve"> </w:t>
      </w:r>
    </w:p>
    <w:p w14:paraId="2A7112C8" w14:textId="77777777" w:rsidR="00252A54" w:rsidRDefault="00252A54"/>
    <w:p w14:paraId="4EEA40C5" w14:textId="77777777" w:rsidR="00252A54" w:rsidRDefault="00252A54">
      <w:r>
        <w:t>3.</w:t>
      </w:r>
      <w:r>
        <w:tab/>
      </w:r>
      <w:r w:rsidRPr="00CD47CC">
        <w:rPr>
          <w:b/>
        </w:rPr>
        <w:t>Events will not be funded retroactively</w:t>
      </w:r>
      <w:r>
        <w:t xml:space="preserve">.  All grant applications must be received for </w:t>
      </w:r>
      <w:r>
        <w:tab/>
        <w:t xml:space="preserve">consideration by SMCAC on or before the published deadlines.  Notification of the Board </w:t>
      </w:r>
      <w:r>
        <w:tab/>
        <w:t>decision will be made within 30 days of the deadline.</w:t>
      </w:r>
    </w:p>
    <w:p w14:paraId="70D36DF2" w14:textId="4DCC99B4" w:rsidR="00C24A2B" w:rsidRPr="00BF7E27" w:rsidRDefault="00C24A2B">
      <w:pPr>
        <w:rPr>
          <w:lang w:val="it-IT"/>
        </w:rPr>
      </w:pPr>
    </w:p>
    <w:p w14:paraId="7A2DC37D" w14:textId="77777777" w:rsidR="00252A54" w:rsidRPr="007E0F36" w:rsidRDefault="00252A54">
      <w:pPr>
        <w:rPr>
          <w:b/>
          <w:sz w:val="28"/>
          <w:lang w:val="it-IT"/>
        </w:rPr>
      </w:pPr>
      <w:r w:rsidRPr="007E0F36">
        <w:rPr>
          <w:b/>
          <w:sz w:val="28"/>
          <w:lang w:val="it-IT"/>
        </w:rPr>
        <w:t>EVALUATION CRITERIA</w:t>
      </w:r>
    </w:p>
    <w:p w14:paraId="48B185E0" w14:textId="77777777" w:rsidR="00DF463B" w:rsidRPr="007E0F36" w:rsidRDefault="00DF463B">
      <w:pPr>
        <w:rPr>
          <w:lang w:val="it-IT"/>
        </w:rPr>
      </w:pPr>
    </w:p>
    <w:p w14:paraId="5D69B8C4" w14:textId="77777777" w:rsidR="00252A54" w:rsidRDefault="00252A54">
      <w:pPr>
        <w:ind w:firstLine="720"/>
      </w:pPr>
      <w:r>
        <w:t>The review and evaluation of grant requests will be based on the following criteria:</w:t>
      </w:r>
    </w:p>
    <w:p w14:paraId="3BE2219A" w14:textId="77777777" w:rsidR="00252A54" w:rsidRDefault="00252A54"/>
    <w:p w14:paraId="6D2FE816" w14:textId="77777777" w:rsidR="00252A54" w:rsidRDefault="00252A54" w:rsidP="00834FD1">
      <w:pPr>
        <w:pStyle w:val="10"/>
        <w:numPr>
          <w:ilvl w:val="0"/>
          <w:numId w:val="5"/>
        </w:numPr>
        <w:tabs>
          <w:tab w:val="left" w:pos="-1440"/>
        </w:tabs>
      </w:pPr>
      <w:r>
        <w:tab/>
        <w:t xml:space="preserve">Artistic merit of the </w:t>
      </w:r>
      <w:r w:rsidR="00CD13D6">
        <w:t xml:space="preserve">proposed </w:t>
      </w:r>
      <w:r>
        <w:t>project</w:t>
      </w:r>
    </w:p>
    <w:p w14:paraId="61E77758" w14:textId="77777777" w:rsidR="00252A54" w:rsidRDefault="00252A54" w:rsidP="00834FD1">
      <w:pPr>
        <w:pStyle w:val="10"/>
        <w:numPr>
          <w:ilvl w:val="0"/>
          <w:numId w:val="5"/>
        </w:numPr>
        <w:tabs>
          <w:tab w:val="left" w:pos="-1440"/>
        </w:tabs>
      </w:pPr>
      <w:r>
        <w:tab/>
      </w:r>
      <w:r w:rsidR="00B571E2">
        <w:t>Serving St. Mary’s County residents</w:t>
      </w:r>
    </w:p>
    <w:p w14:paraId="07DA65C8" w14:textId="77777777" w:rsidR="00252A54" w:rsidRDefault="00252A54" w:rsidP="00834FD1">
      <w:pPr>
        <w:pStyle w:val="10"/>
        <w:numPr>
          <w:ilvl w:val="0"/>
          <w:numId w:val="5"/>
        </w:numPr>
        <w:tabs>
          <w:tab w:val="left" w:pos="-1440"/>
        </w:tabs>
      </w:pPr>
      <w:r>
        <w:tab/>
        <w:t>Financial feasibility of the project</w:t>
      </w:r>
    </w:p>
    <w:p w14:paraId="2DCE5635" w14:textId="77777777" w:rsidR="00BF7E27" w:rsidRDefault="00252A54" w:rsidP="000A24AE">
      <w:pPr>
        <w:pStyle w:val="10"/>
        <w:numPr>
          <w:ilvl w:val="0"/>
          <w:numId w:val="5"/>
        </w:numPr>
        <w:tabs>
          <w:tab w:val="left" w:pos="-1440"/>
        </w:tabs>
      </w:pPr>
      <w:r>
        <w:tab/>
      </w:r>
      <w:r w:rsidR="00B571E2">
        <w:t>Engagement &amp; Outreach</w:t>
      </w:r>
      <w:r w:rsidR="000A24AE">
        <w:t xml:space="preserve">      </w:t>
      </w:r>
    </w:p>
    <w:p w14:paraId="5ECD8C11" w14:textId="77777777" w:rsidR="00BF7E27" w:rsidRDefault="00BF7E27" w:rsidP="00BF7E27">
      <w:pPr>
        <w:pStyle w:val="10"/>
        <w:tabs>
          <w:tab w:val="left" w:pos="-1440"/>
        </w:tabs>
        <w:ind w:left="0" w:firstLine="0"/>
      </w:pPr>
    </w:p>
    <w:p w14:paraId="18F924DD" w14:textId="0B0918E1" w:rsidR="00252A54" w:rsidRPr="00BF7E27" w:rsidRDefault="00BF7E27" w:rsidP="00BF7E27">
      <w:pPr>
        <w:rPr>
          <w:b/>
        </w:rPr>
      </w:pPr>
      <w:r>
        <w:t>Q</w:t>
      </w:r>
      <w:r>
        <w:t xml:space="preserve">uestions should be directed to the SMCAC office by calling </w:t>
      </w:r>
      <w:r w:rsidRPr="004E4761">
        <w:rPr>
          <w:b/>
        </w:rPr>
        <w:t>240-309-</w:t>
      </w:r>
      <w:r>
        <w:rPr>
          <w:b/>
        </w:rPr>
        <w:t>4061</w:t>
      </w:r>
      <w:r>
        <w:rPr>
          <w:b/>
        </w:rPr>
        <w:t xml:space="preserve"> </w:t>
      </w:r>
      <w:r w:rsidRPr="007E0F36">
        <w:rPr>
          <w:lang w:val="it-IT"/>
        </w:rPr>
        <w:t xml:space="preserve">or </w:t>
      </w:r>
      <w:r>
        <w:rPr>
          <w:lang w:val="it-IT"/>
        </w:rPr>
        <w:t xml:space="preserve">by </w:t>
      </w:r>
      <w:r>
        <w:rPr>
          <w:lang w:val="it-IT"/>
        </w:rPr>
        <w:t>e</w:t>
      </w:r>
      <w:r w:rsidRPr="007E0F36">
        <w:rPr>
          <w:lang w:val="it-IT"/>
        </w:rPr>
        <w:t>-mail</w:t>
      </w:r>
      <w:r>
        <w:rPr>
          <w:lang w:val="it-IT"/>
        </w:rPr>
        <w:t>:</w:t>
      </w:r>
      <w:r w:rsidRPr="007E0F36">
        <w:rPr>
          <w:lang w:val="it-IT"/>
        </w:rPr>
        <w:t xml:space="preserve"> </w:t>
      </w:r>
      <w:r w:rsidRPr="007E0F36">
        <w:rPr>
          <w:b/>
          <w:lang w:val="it-IT"/>
        </w:rPr>
        <w:t>info@smcart.org</w:t>
      </w:r>
    </w:p>
    <w:p w14:paraId="44CAA91F" w14:textId="77777777" w:rsidR="00BF7E27" w:rsidRPr="00BF7E27" w:rsidRDefault="00BF7E27" w:rsidP="00BF7E27">
      <w:pPr>
        <w:pStyle w:val="1"/>
        <w:numPr>
          <w:ilvl w:val="0"/>
          <w:numId w:val="0"/>
        </w:numPr>
        <w:ind w:left="720"/>
        <w:rPr>
          <w:lang w:val="it-IT"/>
        </w:rPr>
      </w:pPr>
    </w:p>
    <w:p w14:paraId="306AAB7A" w14:textId="15B4561B" w:rsidR="00252A54" w:rsidRDefault="00CD2BC5">
      <w:r>
        <w:t xml:space="preserve">Revised </w:t>
      </w:r>
      <w:r w:rsidR="009140B4">
        <w:t>8/12/2023.</w:t>
      </w:r>
    </w:p>
    <w:sectPr w:rsidR="00252A5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F188" w14:textId="77777777" w:rsidR="00323270" w:rsidRDefault="00323270" w:rsidP="00895296">
      <w:r>
        <w:separator/>
      </w:r>
    </w:p>
  </w:endnote>
  <w:endnote w:type="continuationSeparator" w:id="0">
    <w:p w14:paraId="3CA624C0" w14:textId="77777777" w:rsidR="00323270" w:rsidRDefault="00323270" w:rsidP="008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MathA">
    <w:altName w:val="Symbol"/>
    <w:panose1 w:val="020B0604020202020204"/>
    <w:charset w:val="02"/>
    <w:family w:val="auto"/>
    <w:pitch w:val="variable"/>
    <w:sig w:usb0="00000000" w:usb1="10000000" w:usb2="00000000" w:usb3="00000000" w:csb0="80000000" w:csb1="00000000"/>
  </w:font>
  <w:font w:name="MinionPro-Regular">
    <w:panose1 w:val="020B0604020202020204"/>
    <w:charset w:val="00"/>
    <w:family w:val="roman"/>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979354"/>
      <w:docPartObj>
        <w:docPartGallery w:val="Page Numbers (Bottom of Page)"/>
        <w:docPartUnique/>
      </w:docPartObj>
    </w:sdtPr>
    <w:sdtContent>
      <w:p w14:paraId="103058E7" w14:textId="77777777" w:rsidR="00CD2BC5" w:rsidRDefault="00CD2BC5" w:rsidP="00E36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F621F" w14:textId="77777777" w:rsidR="00CD2BC5" w:rsidRDefault="00CD2BC5" w:rsidP="00CD2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657618"/>
      <w:docPartObj>
        <w:docPartGallery w:val="Page Numbers (Bottom of Page)"/>
        <w:docPartUnique/>
      </w:docPartObj>
    </w:sdtPr>
    <w:sdtContent>
      <w:p w14:paraId="14E43E19" w14:textId="77777777" w:rsidR="00CD2BC5" w:rsidRDefault="00CD2BC5" w:rsidP="00E36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2EF57D" w14:textId="77777777" w:rsidR="00CD2BC5" w:rsidRDefault="00CD2BC5" w:rsidP="00CD2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3A87" w14:textId="77777777" w:rsidR="00323270" w:rsidRDefault="00323270" w:rsidP="00895296">
      <w:r>
        <w:separator/>
      </w:r>
    </w:p>
  </w:footnote>
  <w:footnote w:type="continuationSeparator" w:id="0">
    <w:p w14:paraId="4EF0A2F6" w14:textId="77777777" w:rsidR="00323270" w:rsidRDefault="00323270" w:rsidP="0089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6A60" w14:textId="77777777" w:rsidR="00895296" w:rsidRDefault="00895296" w:rsidP="00895296">
    <w:pPr>
      <w:pStyle w:val="Header"/>
      <w:jc w:val="center"/>
    </w:pPr>
    <w:r>
      <w:rPr>
        <w:noProof/>
        <w:snapToGrid/>
      </w:rPr>
      <w:drawing>
        <wp:inline distT="0" distB="0" distL="0" distR="0" wp14:anchorId="72EBF614" wp14:editId="614C4650">
          <wp:extent cx="1197360" cy="7088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Council+Logo.hi.Website.png"/>
                  <pic:cNvPicPr/>
                </pic:nvPicPr>
                <pic:blipFill>
                  <a:blip r:embed="rId1">
                    <a:extLst>
                      <a:ext uri="{28A0092B-C50C-407E-A947-70E740481C1C}">
                        <a14:useLocalDpi xmlns:a14="http://schemas.microsoft.com/office/drawing/2010/main" val="0"/>
                      </a:ext>
                    </a:extLst>
                  </a:blip>
                  <a:stretch>
                    <a:fillRect/>
                  </a:stretch>
                </pic:blipFill>
                <pic:spPr>
                  <a:xfrm>
                    <a:off x="0" y="0"/>
                    <a:ext cx="1216221" cy="720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8E6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3" w15:restartNumberingAfterBreak="0">
    <w:nsid w:val="0D6212CF"/>
    <w:multiLevelType w:val="hybridMultilevel"/>
    <w:tmpl w:val="75C8F30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2A2EC8"/>
    <w:multiLevelType w:val="multilevel"/>
    <w:tmpl w:val="D37CC1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183871"/>
    <w:multiLevelType w:val="hybridMultilevel"/>
    <w:tmpl w:val="19B2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2E3"/>
    <w:multiLevelType w:val="hybridMultilevel"/>
    <w:tmpl w:val="ED86E24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 w15:restartNumberingAfterBreak="0">
    <w:nsid w:val="660F1349"/>
    <w:multiLevelType w:val="multilevel"/>
    <w:tmpl w:val="D37CC1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E1D0459"/>
    <w:multiLevelType w:val="hybridMultilevel"/>
    <w:tmpl w:val="AF4EBFBA"/>
    <w:lvl w:ilvl="0" w:tplc="B5BA35C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728E1"/>
    <w:multiLevelType w:val="hybridMultilevel"/>
    <w:tmpl w:val="D37CC1C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31940261">
    <w:abstractNumId w:val="2"/>
    <w:lvlOverride w:ilvl="0">
      <w:startOverride w:val="1"/>
      <w:lvl w:ilvl="0">
        <w:start w:val="1"/>
        <w:numFmt w:val="decimal"/>
        <w:pStyle w:val="1"/>
        <w:lvlText w:val="%1."/>
        <w:lvlJc w:val="left"/>
      </w:lvl>
    </w:lvlOverride>
  </w:num>
  <w:num w:numId="2" w16cid:durableId="2097634274">
    <w:abstractNumId w:val="1"/>
    <w:lvlOverride w:ilvl="0">
      <w:lvl w:ilvl="0">
        <w:numFmt w:val="bullet"/>
        <w:lvlText w:val=""/>
        <w:legacy w:legacy="1" w:legacySpace="0" w:legacyIndent="720"/>
        <w:lvlJc w:val="left"/>
        <w:pPr>
          <w:ind w:left="720" w:hanging="720"/>
        </w:pPr>
        <w:rPr>
          <w:rFonts w:ascii="WP MathA" w:hAnsi="WP MathA" w:hint="default"/>
        </w:rPr>
      </w:lvl>
    </w:lvlOverride>
  </w:num>
  <w:num w:numId="3" w16cid:durableId="833372647">
    <w:abstractNumId w:val="1"/>
    <w:lvlOverride w:ilvl="0">
      <w:lvl w:ilvl="0">
        <w:numFmt w:val="bullet"/>
        <w:lvlText w:val=""/>
        <w:legacy w:legacy="1" w:legacySpace="0" w:legacyIndent="720"/>
        <w:lvlJc w:val="left"/>
        <w:pPr>
          <w:ind w:left="1440" w:hanging="720"/>
        </w:pPr>
        <w:rPr>
          <w:rFonts w:ascii="WP MathA" w:hAnsi="WP MathA" w:hint="default"/>
        </w:rPr>
      </w:lvl>
    </w:lvlOverride>
  </w:num>
  <w:num w:numId="4" w16cid:durableId="1585798908">
    <w:abstractNumId w:val="3"/>
  </w:num>
  <w:num w:numId="5" w16cid:durableId="763965001">
    <w:abstractNumId w:val="9"/>
  </w:num>
  <w:num w:numId="6" w16cid:durableId="272832780">
    <w:abstractNumId w:val="0"/>
  </w:num>
  <w:num w:numId="7" w16cid:durableId="1253970119">
    <w:abstractNumId w:val="7"/>
  </w:num>
  <w:num w:numId="8" w16cid:durableId="416754819">
    <w:abstractNumId w:val="4"/>
  </w:num>
  <w:num w:numId="9" w16cid:durableId="1973097124">
    <w:abstractNumId w:val="6"/>
  </w:num>
  <w:num w:numId="10" w16cid:durableId="1233465112">
    <w:abstractNumId w:val="8"/>
  </w:num>
  <w:num w:numId="11" w16cid:durableId="1709255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C"/>
    <w:rsid w:val="000A24AE"/>
    <w:rsid w:val="00161F8E"/>
    <w:rsid w:val="0021314E"/>
    <w:rsid w:val="00252A54"/>
    <w:rsid w:val="00271945"/>
    <w:rsid w:val="00323270"/>
    <w:rsid w:val="004B4FD0"/>
    <w:rsid w:val="004E4761"/>
    <w:rsid w:val="00533FA4"/>
    <w:rsid w:val="00536B60"/>
    <w:rsid w:val="00590E6D"/>
    <w:rsid w:val="005F5FDF"/>
    <w:rsid w:val="0060022F"/>
    <w:rsid w:val="00627BA0"/>
    <w:rsid w:val="00671265"/>
    <w:rsid w:val="007E0F36"/>
    <w:rsid w:val="00834FD1"/>
    <w:rsid w:val="00873D2E"/>
    <w:rsid w:val="00895296"/>
    <w:rsid w:val="008E1D1D"/>
    <w:rsid w:val="00903CC9"/>
    <w:rsid w:val="009140B4"/>
    <w:rsid w:val="00B162E5"/>
    <w:rsid w:val="00B571E2"/>
    <w:rsid w:val="00BE5201"/>
    <w:rsid w:val="00BF7E27"/>
    <w:rsid w:val="00C023DE"/>
    <w:rsid w:val="00C24A2B"/>
    <w:rsid w:val="00CD13D6"/>
    <w:rsid w:val="00CD2BC5"/>
    <w:rsid w:val="00CD47CC"/>
    <w:rsid w:val="00D571D7"/>
    <w:rsid w:val="00DA49CC"/>
    <w:rsid w:val="00DF463B"/>
    <w:rsid w:val="00E53317"/>
    <w:rsid w:val="00E62A16"/>
    <w:rsid w:val="00E83153"/>
    <w:rsid w:val="00ED6B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779F"/>
  <w15:chartTrackingRefBased/>
  <w15:docId w15:val="{F3FC2F5D-B114-7A4F-AC14-637D3CD2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1">
    <w:name w:val="1"/>
    <w:aliases w:val="2,3"/>
    <w:basedOn w:val="Normal"/>
    <w:pPr>
      <w:numPr>
        <w:numId w:val="1"/>
      </w:numPr>
      <w:ind w:left="720" w:hanging="720"/>
    </w:pPr>
  </w:style>
  <w:style w:type="paragraph" w:customStyle="1" w:styleId="10">
    <w:name w:val="_1"/>
    <w:basedOn w:val="Normal"/>
    <w:pPr>
      <w:ind w:left="1440" w:hanging="720"/>
    </w:pPr>
  </w:style>
  <w:style w:type="character" w:styleId="Hyperlink">
    <w:name w:val="Hyperlink"/>
    <w:uiPriority w:val="99"/>
    <w:unhideWhenUsed/>
    <w:rsid w:val="00DA49CC"/>
    <w:rPr>
      <w:color w:val="0000FF"/>
      <w:u w:val="single"/>
    </w:rPr>
  </w:style>
  <w:style w:type="paragraph" w:customStyle="1" w:styleId="BasicParagraph">
    <w:name w:val="[Basic Paragraph]"/>
    <w:basedOn w:val="Normal"/>
    <w:uiPriority w:val="99"/>
    <w:rsid w:val="0021314E"/>
    <w:pPr>
      <w:autoSpaceDE w:val="0"/>
      <w:autoSpaceDN w:val="0"/>
      <w:adjustRightInd w:val="0"/>
      <w:spacing w:line="288" w:lineRule="auto"/>
      <w:textAlignment w:val="center"/>
    </w:pPr>
    <w:rPr>
      <w:rFonts w:ascii="MinionPro-Regular" w:hAnsi="MinionPro-Regular" w:cs="MinionPro-Regular"/>
      <w:snapToGrid/>
      <w:color w:val="000000"/>
      <w:szCs w:val="24"/>
    </w:rPr>
  </w:style>
  <w:style w:type="paragraph" w:styleId="Header">
    <w:name w:val="header"/>
    <w:basedOn w:val="Normal"/>
    <w:link w:val="HeaderChar"/>
    <w:uiPriority w:val="99"/>
    <w:unhideWhenUsed/>
    <w:rsid w:val="00895296"/>
    <w:pPr>
      <w:tabs>
        <w:tab w:val="center" w:pos="4680"/>
        <w:tab w:val="right" w:pos="9360"/>
      </w:tabs>
    </w:pPr>
  </w:style>
  <w:style w:type="character" w:customStyle="1" w:styleId="HeaderChar">
    <w:name w:val="Header Char"/>
    <w:basedOn w:val="DefaultParagraphFont"/>
    <w:link w:val="Header"/>
    <w:uiPriority w:val="99"/>
    <w:rsid w:val="00895296"/>
    <w:rPr>
      <w:snapToGrid w:val="0"/>
      <w:sz w:val="24"/>
    </w:rPr>
  </w:style>
  <w:style w:type="paragraph" w:styleId="Footer">
    <w:name w:val="footer"/>
    <w:basedOn w:val="Normal"/>
    <w:link w:val="FooterChar"/>
    <w:uiPriority w:val="99"/>
    <w:unhideWhenUsed/>
    <w:rsid w:val="00895296"/>
    <w:pPr>
      <w:tabs>
        <w:tab w:val="center" w:pos="4680"/>
        <w:tab w:val="right" w:pos="9360"/>
      </w:tabs>
    </w:pPr>
  </w:style>
  <w:style w:type="character" w:customStyle="1" w:styleId="FooterChar">
    <w:name w:val="Footer Char"/>
    <w:basedOn w:val="DefaultParagraphFont"/>
    <w:link w:val="Footer"/>
    <w:uiPriority w:val="99"/>
    <w:rsid w:val="00895296"/>
    <w:rPr>
      <w:snapToGrid w:val="0"/>
      <w:sz w:val="24"/>
    </w:rPr>
  </w:style>
  <w:style w:type="paragraph" w:styleId="ListParagraph">
    <w:name w:val="List Paragraph"/>
    <w:basedOn w:val="Normal"/>
    <w:uiPriority w:val="34"/>
    <w:qFormat/>
    <w:rsid w:val="00895296"/>
    <w:pPr>
      <w:ind w:left="720"/>
      <w:contextualSpacing/>
    </w:pPr>
  </w:style>
  <w:style w:type="character" w:styleId="PageNumber">
    <w:name w:val="page number"/>
    <w:basedOn w:val="DefaultParagraphFont"/>
    <w:uiPriority w:val="99"/>
    <w:semiHidden/>
    <w:unhideWhenUsed/>
    <w:rsid w:val="00CD2BC5"/>
  </w:style>
  <w:style w:type="character" w:styleId="Emphasis">
    <w:name w:val="Emphasis"/>
    <w:basedOn w:val="DefaultParagraphFont"/>
    <w:uiPriority w:val="20"/>
    <w:qFormat/>
    <w:rsid w:val="009140B4"/>
    <w:rPr>
      <w:i/>
      <w:iCs/>
    </w:rPr>
  </w:style>
  <w:style w:type="character" w:styleId="UnresolvedMention">
    <w:name w:val="Unresolved Mention"/>
    <w:basedOn w:val="DefaultParagraphFont"/>
    <w:uiPriority w:val="47"/>
    <w:rsid w:val="00BF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mcart.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vt:lpstr>
    </vt:vector>
  </TitlesOfParts>
  <Company>SMCAC/SMICCF</Company>
  <LinksUpToDate>false</LinksUpToDate>
  <CharactersWithSpaces>6986</CharactersWithSpaces>
  <SharedDoc>false</SharedDoc>
  <HLinks>
    <vt:vector size="6" baseType="variant">
      <vt:variant>
        <vt:i4>6094965</vt:i4>
      </vt:variant>
      <vt:variant>
        <vt:i4>0</vt:i4>
      </vt:variant>
      <vt:variant>
        <vt:i4>0</vt:i4>
      </vt:variant>
      <vt:variant>
        <vt:i4>5</vt:i4>
      </vt:variant>
      <vt:variant>
        <vt:lpwstr>mailto:info@smcart.org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Erin Gass</dc:creator>
  <cp:keywords/>
  <cp:lastModifiedBy>Nell Elder</cp:lastModifiedBy>
  <cp:revision>8</cp:revision>
  <cp:lastPrinted>2013-02-05T18:29:00Z</cp:lastPrinted>
  <dcterms:created xsi:type="dcterms:W3CDTF">2020-12-09T18:44:00Z</dcterms:created>
  <dcterms:modified xsi:type="dcterms:W3CDTF">2023-08-13T21:30:00Z</dcterms:modified>
</cp:coreProperties>
</file>